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400" w:lineRule="exact"/>
        <w:jc w:val="left"/>
        <w:rPr>
          <w:rFonts w:hint="eastAsia" w:asciiTheme="minorEastAsia" w:hAnsiTheme="minorEastAsia" w:eastAsiaTheme="minorEastAsia"/>
          <w:sz w:val="30"/>
          <w:szCs w:val="30"/>
          <w:lang w:val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附件2：</w:t>
      </w:r>
      <w:r>
        <w:rPr>
          <w:rFonts w:hint="eastAsia" w:asciiTheme="minorEastAsia" w:hAnsiTheme="minorEastAsia" w:eastAsiaTheme="minorEastAsia"/>
          <w:sz w:val="30"/>
          <w:szCs w:val="30"/>
          <w:lang w:val="zh-CN"/>
        </w:rPr>
        <w:t>江苏建筑职教集团20</w:t>
      </w:r>
      <w:r>
        <w:rPr>
          <w:rFonts w:hint="eastAsia" w:asciiTheme="minorEastAsia" w:hAnsiTheme="minorEastAsia" w:eastAsia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  <w:lang w:val="zh-CN"/>
        </w:rPr>
        <w:t>年年会工作安排</w:t>
      </w:r>
    </w:p>
    <w:p>
      <w:pPr>
        <w:adjustRightInd w:val="0"/>
        <w:snapToGrid w:val="0"/>
        <w:spacing w:line="400" w:lineRule="exact"/>
        <w:jc w:val="left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  <w:lang w:val="zh-CN"/>
        </w:rPr>
        <w:t>江苏建筑职教集团20</w:t>
      </w:r>
      <w:r>
        <w:rPr>
          <w:rFonts w:hint="eastAsia" w:eastAsia="黑体"/>
          <w:sz w:val="36"/>
          <w:szCs w:val="36"/>
        </w:rPr>
        <w:t>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hint="eastAsia" w:eastAsia="黑体"/>
          <w:sz w:val="36"/>
          <w:szCs w:val="36"/>
          <w:lang w:val="zh-CN"/>
        </w:rPr>
        <w:t>年年会工作安排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72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2022.12.3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2022.12.4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领导致辞、表彰先进、宣读新增成员单位、专家讲座等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2022.12.4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专家讲座、对接交流、返程（自行安排）等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gyMDM0MTk3Y2EzM2ZhMGI4MGIwNDM5YzE0N2QifQ=="/>
  </w:docVars>
  <w:rsids>
    <w:rsidRoot w:val="54B34988"/>
    <w:rsid w:val="54B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2022-11-21T06:53:00Z</dcterms:created>
  <dc:creator>111</dc:creator>
  <cp:lastModifiedBy>111</cp:lastModifiedBy>
  <dcterms:modified xsi:type="dcterms:W3CDTF">2022-11-21T06:54:23Z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AF59781BBE9243969366CC5565B2DAB4</vt:lpwstr>
  </property>
</Properties>
</file>